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B" w:rsidRDefault="00910B9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0B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0B9B" w:rsidRDefault="00910B9B">
            <w:pPr>
              <w:pStyle w:val="ConsPlusNormal"/>
            </w:pPr>
            <w:r>
              <w:t>8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0B9B" w:rsidRDefault="00910B9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10B9B" w:rsidRDefault="00910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Title"/>
        <w:jc w:val="center"/>
      </w:pPr>
      <w:r>
        <w:t>РОССИЙСКАЯ ФЕДЕРАЦИЯ</w:t>
      </w:r>
    </w:p>
    <w:p w:rsidR="00910B9B" w:rsidRDefault="00910B9B">
      <w:pPr>
        <w:pStyle w:val="ConsPlusTitle"/>
        <w:jc w:val="center"/>
      </w:pPr>
    </w:p>
    <w:p w:rsidR="00910B9B" w:rsidRDefault="00910B9B">
      <w:pPr>
        <w:pStyle w:val="ConsPlusTitle"/>
        <w:jc w:val="center"/>
      </w:pPr>
      <w:r>
        <w:t>ФЕДЕРАЛЬНЫЙ ЗАКОН</w:t>
      </w:r>
    </w:p>
    <w:p w:rsidR="00910B9B" w:rsidRDefault="00910B9B">
      <w:pPr>
        <w:pStyle w:val="ConsPlusTitle"/>
        <w:ind w:firstLine="540"/>
        <w:jc w:val="both"/>
      </w:pPr>
    </w:p>
    <w:p w:rsidR="00910B9B" w:rsidRDefault="00910B9B">
      <w:pPr>
        <w:pStyle w:val="ConsPlusTitle"/>
        <w:jc w:val="center"/>
      </w:pPr>
      <w:r>
        <w:t>О ВНЕСЕНИИ ИЗМЕНЕНИЙ</w:t>
      </w:r>
    </w:p>
    <w:p w:rsidR="00910B9B" w:rsidRDefault="00910B9B">
      <w:pPr>
        <w:pStyle w:val="ConsPlusTitle"/>
        <w:jc w:val="center"/>
      </w:pPr>
      <w:r>
        <w:t>В ЧАСТЬ ВТОРУЮ НАЛОГОВОГО КОДЕКСА РОССИЙСКОЙ ФЕДЕРАЦИИ</w:t>
      </w: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Normal"/>
        <w:jc w:val="right"/>
      </w:pPr>
      <w:r>
        <w:t>Принят</w:t>
      </w:r>
    </w:p>
    <w:p w:rsidR="00910B9B" w:rsidRDefault="00910B9B">
      <w:pPr>
        <w:pStyle w:val="ConsPlusNormal"/>
        <w:jc w:val="right"/>
      </w:pPr>
      <w:r>
        <w:t>Государственной Думой</w:t>
      </w:r>
    </w:p>
    <w:p w:rsidR="00910B9B" w:rsidRDefault="00910B9B">
      <w:pPr>
        <w:pStyle w:val="ConsPlusNormal"/>
        <w:jc w:val="right"/>
      </w:pPr>
      <w:r>
        <w:t>22 мая 2020 года</w:t>
      </w: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Normal"/>
        <w:jc w:val="right"/>
      </w:pPr>
      <w:r>
        <w:t>Одобрен</w:t>
      </w:r>
    </w:p>
    <w:p w:rsidR="00910B9B" w:rsidRDefault="00910B9B">
      <w:pPr>
        <w:pStyle w:val="ConsPlusNormal"/>
        <w:jc w:val="right"/>
      </w:pPr>
      <w:r>
        <w:t>Советом Федерации</w:t>
      </w:r>
    </w:p>
    <w:p w:rsidR="00910B9B" w:rsidRDefault="00910B9B">
      <w:pPr>
        <w:pStyle w:val="ConsPlusNormal"/>
        <w:jc w:val="right"/>
      </w:pPr>
      <w:r>
        <w:t>2 июня 2020 года</w:t>
      </w: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Title"/>
        <w:ind w:firstLine="540"/>
        <w:jc w:val="both"/>
        <w:outlineLvl w:val="0"/>
      </w:pPr>
      <w:r>
        <w:t>Статья 1</w:t>
      </w: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Normal"/>
        <w:ind w:firstLine="540"/>
        <w:jc w:val="both"/>
      </w:pPr>
      <w:r>
        <w:t xml:space="preserve">Внести в часть вторую Налогового </w:t>
      </w:r>
      <w:hyperlink r:id="rId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1, ст. 18; N 23, ст. 2289; N 33, ст. 3413; N 53, ст. 5023; 2002, N 22, ст. 2026; N 30, ст. 3021; 2003, N 1, ст. 2, 5, 6; N 21, ст. 1958; N 28, ст. 2886; N 46, ст. 4443; N 52, ст. 5030; 2004, N 27, ст. 2711, 2715; N 34, ст. 3518, 3520, 3524; 2005, N 1, ст. 30, 38; N 24, ст. 2312; N 27, ст. 2707, 2710, 2717; N 30, ст. 3104, 3112, 3129, 3130; N 52, ст. 5581; 2006, N 10, ст. 1065; N 12, ст. 1233; N 31, ст. 3436, 3443, 3452; N 45, ст. 4627; N 50, ст. 5279, 5286; 2007, N 1, ст. 20, 31, 39; N 13, ст. 1465; N 22, ст. 2563; N 23, ст. 2691; N 31, ст. 3991, 4013; N 45, ст. 5416; N 49, ст. 6045, 6071; N 50, ст. 6237, 6245; 2008, N 18, ст. 1942; N 27, ст. 3126; N 30, ст. 3611, 3614; N 48, ст. 5519; N 49, ст. 5723; N 52, ст. 6237; 2009, N 1, ст. 31; N 11, ст. 1265; N 18, ст. 2147; N 23, ст. 2772; N 29, ст. 3598, 3639; N 30, ст. 3739; N 39, ст. 4534; N 45, ст. 5271; N 48, ст. 5725, 5726, 5731, 5733; N 51, ст. 6153, 6155; N 52, ст. 6444, 6455; 2010, N 15, ст. 1737; N 19, ст. 2291; N 31, ст. 4176, 4186, 4198; N 32, ст. 4298; N 47, ст. 6034; N 48, ст. 6247; N 49, ст. 6409; 2011, N 1, ст. 7, 9, 21, 37; N 11, ст. 1492; N 24, ст. 3357; N 26, ст. 3652; N 27, ст. 3881; N 30, ст. 4575, 4583, 4587, 4593, 4597; N 45, ст. 6335; N 47, ст. 6610, 6611; N 48, ст. 6729, 6731; N 49, ст. 7014, 7015, 7016, 7037; 2012, N 10, ст. 1164; N 19, ст. 2281; N 25, ст. 3268; N 26, ст. 3447; N 27, ст. 3588; N 41, ст. 5526, 5527; N 49, ст. 6750, 6751; N 53, ст. 7596, 7604, 7619; 2013, N 23, ст. 2866, 2889; N 27, ст. 3444; N 30, ст. 4049, 4081; N 40, ст. 5038; N 44, ст. 5640; N 48, ст. 6165; N 51, ст. 6699; N 52, ст. 6985; 2014, N 8, ст. 737; N 16, ст. 1835, 1838; N 19, ст. 2313; N 26, ст. 3373; N 30, ст. 4220, 4239; N 40, ст. 5316; N 48, ст. 6647, 6657, 6663; 2015, N 1, ст. 13, 15, 16, 18, 32; N 10, ст. 1402; N 14, ст. 2024; N 24, ст. 3373, 3377; N 27, ст. 3968; N 41, ст. 5632; N 48, ст. 6686, 6688, 6689, 6692, 6694; 2016, N 1, ст. 16, 18; N 7, ст. 920; N 14, ст. 1902; N 18, ст. 2504; N 27, ст. 4175, 4176, 4180, 4182, 4184; N 49, ст. 6841, 6843, 6844, 6847, 6849; 2017, N 1, ст. 4, 16; N 15, ст. 2131, 2133; N 30, ст. 4446; N 40, ст. 5753; N 45, ст. 6578; N 49, ст. 7307, 7313, 7314, 7316, 7318, 7323, 7324, 7326; 2018, N 1, ст. 20, 50; N 9, ст. 1289, 1291; N 18, ст. 2558, 2568, 2575, 2583; N 24, ст. 3404, 3410; N 28, ст. 4143; N 30, ст. 4534; N 32, ст. 5087, 5090, 5094, 5095; N 45, ст. 6836, 6844; N 47, ст. 7135; N 49, ст. 7496, 7497, 7499; N 53, ст. 8416, 8419; 2019, N 16, ст. 1826; N 18, ст. 2225; N 22, ст. 2667; N 23, ст. 2908, 2920; N 25, ст. 3167; N 27, ст. 3523, 3527; N 30, ст. 4112, 4113; N 31, ст. 4414; N 39, ст. 5371, 5373, 5374, 5375, 5377; N 52, ст. 7777; 2020, N 12, ст. 1657; N 13, ст. 1857; N 14, ст. 2032; Российская газета, 2020, 24 апреля) следующие изменения: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2 статьи 146</w:t>
        </w:r>
      </w:hyperlink>
      <w:r>
        <w:t xml:space="preserve"> дополнить подпунктом 5.1 следующего содержания: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"5.1) передача на безвозмездной основе имущества, предназначенного для использования в целях предупреждения и предотвращения распространения, а также диагностики и лечения новой </w:t>
      </w:r>
      <w:r>
        <w:lastRenderedPageBreak/>
        <w:t>коронавирусной инфекции,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предприятиям;";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абзац первый подпункта 2 пункта 3 статьи 170</w:t>
        </w:r>
      </w:hyperlink>
      <w:r>
        <w:t xml:space="preserve"> дополнить словами "; операций по передаче на безвозмездной основе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 имущества, предназначенного для использования в целях предупреждения и предотвращения распространения, а также диагностики и лечения новой коронавирусной инфекции";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статью 171</w:t>
        </w:r>
      </w:hyperlink>
      <w:r>
        <w:t xml:space="preserve"> дополнить пунктом 2.3 следующего содержания: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"2.3. Вычетам подлежат суммы налога, предъявленные налогоплательщику при приобретении имущества на территории Российской Федерации либо уплаченные налогоплательщиком при ввозе имущества на территорию Российской Федерации и иные территории, находящиеся под ее юрисдикцией, в таможенных процедурах выпуска для внутреннего потребления в отношении имущества, предназначенного для использования в целях предупреждения и предотвращения распространения, а также диагностики и лечения новой коронавирусной инфекции, безвозмездно передаваемого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предприятиям.";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4) в </w:t>
      </w:r>
      <w:hyperlink r:id="rId8" w:history="1">
        <w:r>
          <w:rPr>
            <w:color w:val="0000FF"/>
          </w:rPr>
          <w:t>статье 217</w:t>
        </w:r>
      </w:hyperlink>
      <w:r>
        <w:t>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62.2 следующего содержания: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"62.2) доходы в связи с прекращением полностью или частично обязательств по уплате задолженности по кредиту и (или) начисленным процентам и доходы в виде материальной выгоды по заключенному налогоплательщиком кредитному договору при выполнении следующих условий: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кредит предоставлен налогоплательщику в период с 1 января по 31 декабря 2020 года на возобновление деятельности или на неотложные нужды для поддержки и сохранения занятости;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в отношении кредитного договора кредитной организации предоставляется (предоставлялась) субсидия по процентной ставке в порядке, установленном Правительством Российской Федерации.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Кредитная организация представляет налогоплательщику информацию о предоставлении в отношении кредита субсидии по процентной ставке в порядке, согласованном между кредитной организацией и налогоплательщиком;";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пункт 81</w:t>
        </w:r>
      </w:hyperlink>
      <w:r>
        <w:t xml:space="preserve"> изложить в следующей редакции: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"81) доходы в виде выплат стимулирующего характера за выполнение особо важных работ, особые условия труда и дополнительную нагрузку лицам, участвующим в выявлении, предупреждении и устранении последствий распространения новой коронавирусной инфекции, в том числе оказывающим медицинскую помощь или социальные услуги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коронавирусной инфекцией, которые осуществляются на основании федеральных законов, актов Президента Российской Федерации, актов Правительства Российской Федерации и источником финансового обеспечения которых являются бюджетные ассигнования федерального бюджета и (или) бюджета субъекта Российской Федерации;";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83 следующего содержания: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"83) доходы в виде субсидии (гранта в форме субсидии), источником финансового обеспечения которых являются бюджетные ассигнования федерального бюджета, полученные физическим лицом в 2020 году в размере, соответствующем сумме уплаченного таким физическим лицом налога на профессиональный доход за 2019 год в качестве налогоплательщика налога на профессиональный доход.";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5) в </w:t>
      </w:r>
      <w:hyperlink r:id="rId12" w:history="1">
        <w:r>
          <w:rPr>
            <w:color w:val="0000FF"/>
          </w:rPr>
          <w:t>пункте 18 части второй статьи 250</w:t>
        </w:r>
      </w:hyperlink>
      <w:r>
        <w:t xml:space="preserve"> слова "21.1 и 21.3" заменить словами "21.1, 21.3 и 21.4";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пункт 1 статьи 251</w:t>
        </w:r>
      </w:hyperlink>
      <w:r>
        <w:t>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подпунктом 11.3 следующего содержания: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"11.3) доходы в виде стоимости имущества, указанного в подпункте 19.5 пункта 1 статьи 265 настоящего Кодекса, безвозмездно полученного органами государственной власти и управления и (или) органами местного самоуправления, государственными и муниципальными учреждениями, государственными и муниципальными унитарными предприятиями;";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подпунктом 21.4 следующего содержания: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"21.4) в виде сумм прекращенных обязательств по уплате задолженности по кредиту и (или) начисленным процентам по заключенному налогоплательщиком кредитному договору при выполнении следующих условий: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кредит предоставлен налогоплательщику в период с 1 января по 31 декабря 2020 года на возобновление деятельности или на неотложные нужды для поддержки и сохранения занятости;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в отношении кредитного договора кредитной организации предоставляется (предоставлялась) субсидия по процентной ставке в порядке, установленном Правительством Российской Федерации.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Кредитная организация представляет налогоплательщику информацию о предоставлении в отношении кредита субсидии по процентной ставке в порядке, согласованном между кредитной организацией и налогоплательщиком;";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пункт 1 статьи 265</w:t>
        </w:r>
      </w:hyperlink>
      <w:r>
        <w:t xml:space="preserve"> дополнить подпунктами 19.5 и 19.6 следующего содержания: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"19.5) расходы в виде стоимости имущества (включая денежные средства), предназначенного для использования в целях предупреждения и предотвращения распространения, а также диагностики и лечения новой коронавирусной инфекции, безвозмездно переданного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19.6) расходы в виде стоимости имущества (включая денежные средства), безвозмездно переданного следующим некоммерческим организациям: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социально ориентированным некоммерческим организациям, включенным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услуг. </w:t>
      </w:r>
      <w:r>
        <w:lastRenderedPageBreak/>
        <w:t>Порядок ведения указанного реестра, федеральный орган исполнительной власти, уполномоченный на ведение указанного реестра, устанавливаются Правительством Российской Федерации;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централизованным религиозным организациям, религиозным организациям, входящим в структуру централизованных религиозных организаций, социально ориентированным некоммерческим организациям,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иным некоммерческим организациям, включенным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инфекции. Критерии для включения некоммерческих организаций в указанный реестр, а также порядок его ведения и федеральный орган исполнительной власти, уполномоченный на его ведение, устанавливаются Правительством Российской Федерации.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Расходы, предусмотренные настоящим подпунктом, для целей налогообложения признаются в размере, не превышающем 1 процента выручки от реализации, определяемой в соответствии со статьей 249 настоящего Кодекса;";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пункт 34 статьи 270</w:t>
        </w:r>
      </w:hyperlink>
      <w:r>
        <w:t xml:space="preserve"> дополнить словами ", за исключением целевых отчислений, произведенных в соответствии с подпунктами 19.5 и 19.6 пункта 1 статьи 265 настоящего Кодекса";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пункт 7 статьи 272</w:t>
        </w:r>
      </w:hyperlink>
      <w:r>
        <w:t xml:space="preserve"> дополнить подпунктом 13 следующего содержания: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"13) дата передачи имущества - для расходов, указанных в подпунктах 19.5 и 19.6 пункта 1 статьи 265 настоящего Кодекса.";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10) </w:t>
      </w:r>
      <w:hyperlink r:id="rId19" w:history="1">
        <w:r>
          <w:rPr>
            <w:color w:val="0000FF"/>
          </w:rPr>
          <w:t>пункт 2 статьи 346.5</w:t>
        </w:r>
      </w:hyperlink>
      <w:r>
        <w:t xml:space="preserve"> дополнить подпунктом 24.1 следующего содержания: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"24.1) расходы в виде стоимости имущества (включая денежные средства), предназначенного для использования в целях предупреждения и предотвращения распространения, а также диагностики и лечения новой коронавирусной инфекции, безвозмездно переданного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предприятиям;";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11) </w:t>
      </w:r>
      <w:hyperlink r:id="rId20" w:history="1">
        <w:r>
          <w:rPr>
            <w:color w:val="0000FF"/>
          </w:rPr>
          <w:t>пункт 1 статьи 346.16</w:t>
        </w:r>
      </w:hyperlink>
      <w:r>
        <w:t xml:space="preserve"> дополнить подпунктом 23.1 следующего содержания: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"23.1) расходы в виде стоимости имущества (включая денежные средства), предназначенного для использования в целях предупреждения и предотвращения распространения, а также диагностики и лечения новой коронавирусной инфекции, безвозмездно переданного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предприятиям;";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12) </w:t>
      </w:r>
      <w:hyperlink r:id="rId21" w:history="1">
        <w:r>
          <w:rPr>
            <w:color w:val="0000FF"/>
          </w:rPr>
          <w:t>статью 430</w:t>
        </w:r>
      </w:hyperlink>
      <w:r>
        <w:t xml:space="preserve"> дополнить пунктом 1.1 следующего содержания: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"1.1. Для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страховые взносы на обязательное пенсионное страхование в фиксированном размере за расчетный период 2020 года составляют 20 318 рублей.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 признаются осуществляющими деятельность в соответствующей отрасли российской экономики, в наибольшей степени пострадавшей в условиях </w:t>
      </w:r>
      <w:r>
        <w:lastRenderedPageBreak/>
        <w:t xml:space="preserve">ухудшения ситуации в результате распространения новой коронавирусной инфекции, в порядке, аналогичном порядку, применяемому для определения лиц, в отношении которых предусмотрено продление установленных законодательством о налогах и сборах сроков уплаты налогов (авансовых платежей по налогам), в том числе предусмотренных специальными налоговыми режимами, сборов, страховых взносов в соответствии с </w:t>
      </w:r>
      <w:hyperlink r:id="rId22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23" w:history="1">
        <w:r>
          <w:rPr>
            <w:color w:val="0000FF"/>
          </w:rPr>
          <w:t>3 пункта 3 статьи 4</w:t>
        </w:r>
      </w:hyperlink>
      <w:r>
        <w:t xml:space="preserve"> настоящего Кодекса, и установленному Правительством Российской Федерации.".</w:t>
      </w:r>
    </w:p>
    <w:p w:rsidR="00910B9B" w:rsidRDefault="00910B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B9B" w:rsidRDefault="00910B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10B9B" w:rsidRDefault="00910B9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 </w:t>
            </w:r>
            <w:hyperlink w:anchor="P9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01.04.2020.</w:t>
            </w:r>
          </w:p>
        </w:tc>
      </w:tr>
    </w:tbl>
    <w:p w:rsidR="00910B9B" w:rsidRDefault="00910B9B">
      <w:pPr>
        <w:pStyle w:val="ConsPlusTitle"/>
        <w:spacing w:before="280"/>
        <w:ind w:firstLine="540"/>
        <w:jc w:val="both"/>
        <w:outlineLvl w:val="0"/>
      </w:pPr>
      <w:bookmarkStart w:id="1" w:name="P66"/>
      <w:bookmarkEnd w:id="1"/>
      <w:r>
        <w:t>Статья 2</w:t>
      </w: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Normal"/>
        <w:ind w:firstLine="540"/>
        <w:jc w:val="both"/>
      </w:pPr>
      <w:bookmarkStart w:id="2" w:name="P68"/>
      <w:bookmarkEnd w:id="2"/>
      <w:r>
        <w:t xml:space="preserve">1. Установить, что индивидуальные предприниматели и включенные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на основании налоговой отчетности за 2018 год в единый реестр субъектов малого и среднего предпринимательства организации,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а также организации, включенные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 ведение которого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Федерации, а также некоммерческие и религиозные организации, указанные в подпункте 19.6 пункта 1 статьи 265 Налогового кодекса Российской Федерации, освобождаются от исполнения обязанности уплатить следующие налоги, авансовые платежи по налогам, сборам: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1) по налогу на прибыль организаций - в части ежемесячных авансовых платежей, подлежащих уплате во втором квартале 2020 года; авансовых платежей, подлежащих уплате в бюджет за отчетные периоды четыре месяца, пять месяцев, шесть месяцев 2020 года, за минусом ранее начисленных сумм авансовых платежей за отчетный период три месяца; авансовых платежей, подлежащих уплате в бюджет за полугодие 2020 года, за минусом ранее начисленных сумм авансовых платежей за первый квартал;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2) по акцизам - в части налога за налоговые периоды апрель, май, июнь 2020 года;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3) по водному налогу - в части налога за налоговый период второй квартал 2020 года;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4) по налогу на добычу полезных ископаемых - в части налога за налоговые периоды апрель, май, июнь 2020 года;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5) по единому сельскохозяйственному налогу - в части авансового платежа за отчетный период полугодие 2020 года. Указанный в настоящем пункте авансовый платеж засчитывается в счет уплаты единого сельскохозяйственного налога по итогам налогового периода 2020 года;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6) по налогу, уплачиваемому в связи с применением упрощенной системы налогообложения, - в части авансового платежа за отчетный период полугодие 2020 года, уменьшенного на сумму авансового платежа за отчетный период первый квартал 2020 года;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lastRenderedPageBreak/>
        <w:t>7) по единому налогу на вмененный доход для отдельных видов деятельности - в части налога за второй квартал 2020 года;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8) по транспортному налогу - в части налога и авансовых платежей по этому налогу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и (или) уставной деятельности;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9) по налогу на имущество организаций - в части налога и авансовых платежей по этому налогу за период владения объектом налогообложения с 1 апреля по 30 июня 2020 года;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10) по земельному налогу - в части налога и авансовых платежей по этому налогу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и (или) уставной деятельности;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11) по налогу на имущество физических лиц - в части налога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деятельности;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12) по налогу на доходы физических лиц, исчисляемому и уплачиваемому в соответствии с </w:t>
      </w:r>
      <w:hyperlink r:id="rId25" w:history="1">
        <w:r>
          <w:rPr>
            <w:color w:val="0000FF"/>
          </w:rPr>
          <w:t>пунктом 1 статьи 227</w:t>
        </w:r>
      </w:hyperlink>
      <w:r>
        <w:t xml:space="preserve"> Налогового кодекса Российской Федерации, - в части авансового платежа, исчисленного за полугодие 2020 года, уменьшенного на сумму авансового платежа, исчисленного за первый квартал 2020 года;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13) по торговому сбору - в части сбора, исчисленного за второй квартал 2020 года.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2. Для целей </w:t>
      </w:r>
      <w:hyperlink w:anchor="P68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910B9B" w:rsidRDefault="00910B9B">
      <w:pPr>
        <w:pStyle w:val="ConsPlusNormal"/>
        <w:spacing w:before="220"/>
        <w:ind w:firstLine="540"/>
        <w:jc w:val="both"/>
      </w:pPr>
      <w:bookmarkStart w:id="3" w:name="P83"/>
      <w:bookmarkEnd w:id="3"/>
      <w:r>
        <w:t>1) до 20 июня 2020 года централизованные религиозные организации представляют в электронной форме сведения (с указанием идентификационного номера налогоплательщика) о религиозных организациях, входящих в их структуру, и о социально ориентированных некоммерческих организациях, учредителями которых являются такие централизованные религиозные организации и (или) религиозные организации, входящие в структуру таких централизованных религиозных организаций, в уполномоченный Правительством Российской Федерации федеральный орган исполнительной власти;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2) до 1 июля 2020 года уполномоченные Правительством Российской Федерации федеральные органы исполнительной власти представляют в электронной форме сведения (с указанием идентификационного номера налогоплательщика) из указанных в подпункте 19.6 </w:t>
      </w:r>
      <w:hyperlink r:id="rId26" w:history="1">
        <w:r>
          <w:rPr>
            <w:color w:val="0000FF"/>
          </w:rPr>
          <w:t>пункта 1 статьи 265</w:t>
        </w:r>
      </w:hyperlink>
      <w:r>
        <w:t xml:space="preserve"> Налогового кодекса Российской Федерации реестра социально ориентированных некоммерческих организаций,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сведения о централизованных религиозных организациях (с указанием их идентификационного номера налогоплательщика) и сведения, указанные в </w:t>
      </w:r>
      <w:hyperlink w:anchor="P83" w:history="1">
        <w:r>
          <w:rPr>
            <w:color w:val="0000FF"/>
          </w:rPr>
          <w:t>пункте 1</w:t>
        </w:r>
      </w:hyperlink>
      <w:r>
        <w:t xml:space="preserve"> настоящей части, в федеральный орган исполнительной власти, уполномоченный по контролю и надзору в области налогов и сборов.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3. Организации и индивидуальные предприниматели признаются осуществляющими деятельность в соответствующей отрасли российской экономики, в наибольшей степени пострадавшей в условиях ухудшения ситуации в результате распространения новой коронавирусной инфекции, в порядке, аналогичном порядку, применяемому для определения лиц, в отношении которых предусмотрено продление установленных законодательством о налогах и сборах сроков уплаты налогов (авансовых платежей по налогам), в том числе предусмотренных специальными налоговыми режимами, сборов, страховых взносов в соответствии с </w:t>
      </w:r>
      <w:hyperlink r:id="rId27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28" w:history="1">
        <w:r>
          <w:rPr>
            <w:color w:val="0000FF"/>
          </w:rPr>
          <w:t>3 пункта 3 статьи 4</w:t>
        </w:r>
      </w:hyperlink>
      <w:r>
        <w:t xml:space="preserve"> Налогового кодекса Российской Федерации, и установленному </w:t>
      </w:r>
      <w:r>
        <w:lastRenderedPageBreak/>
        <w:t>Правительством Российской Федерации.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 xml:space="preserve">4. Установить, что при исчислении (перерасчете) суммы налога, подлежащего уплате в связи с применением патентной системы налогообложения в 2020 году индивидуальными предпринимателями, указанными в </w:t>
      </w:r>
      <w:hyperlink w:anchor="P68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из количества дней срока, на который выдается патент, исключаются календарные дни, приходящиеся на апрель, май и июнь 2020 года.</w:t>
      </w: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Title"/>
        <w:ind w:firstLine="540"/>
        <w:jc w:val="both"/>
        <w:outlineLvl w:val="0"/>
      </w:pPr>
      <w:r>
        <w:t>Статья 3</w:t>
      </w: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Normal"/>
        <w:ind w:firstLine="540"/>
        <w:jc w:val="both"/>
      </w:pPr>
      <w:r>
        <w:t xml:space="preserve">Установить, что для указанных в </w:t>
      </w:r>
      <w:hyperlink w:anchor="P66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 организаций и индивидуальных предпринимателей - плательщиков страховых взносов, производящих выплаты и иные вознаграждения физическим лицам, в отношении выплат и иных вознаграждений в пользу физических лиц, начисленных за апрель, май, июнь 2020 года, в пределах установленной предельной величины базы для исчисления страховых взносов по соответствующему виду страхования и свыше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взносов: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1) на обязательное пенсионное страхование - в размере 0,0 процента;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3) на обязательное медицинское страхование - в размере 0,0 процента.</w:t>
      </w: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Title"/>
        <w:ind w:firstLine="540"/>
        <w:jc w:val="both"/>
        <w:outlineLvl w:val="0"/>
      </w:pPr>
      <w:r>
        <w:t>Статья 4</w:t>
      </w: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10B9B" w:rsidRDefault="00910B9B">
      <w:pPr>
        <w:pStyle w:val="ConsPlusNormal"/>
        <w:spacing w:before="220"/>
        <w:ind w:firstLine="540"/>
        <w:jc w:val="both"/>
      </w:pPr>
      <w:r>
        <w:t>2. Положения части второй Налогового кодекса Российской Федерации (в редакции настоящего Федерального закона) распространяются на правоотношения, возникшие с 1 января 2020 года.</w:t>
      </w:r>
    </w:p>
    <w:p w:rsidR="00910B9B" w:rsidRDefault="00910B9B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3. Положения </w:t>
      </w:r>
      <w:hyperlink w:anchor="P66" w:history="1">
        <w:r>
          <w:rPr>
            <w:color w:val="0000FF"/>
          </w:rPr>
          <w:t>статьи 2</w:t>
        </w:r>
      </w:hyperlink>
      <w:r>
        <w:t xml:space="preserve"> настоящего Федерального закона распространяются на правоотношения, возникшие с 1 апреля 2020 года.</w:t>
      </w: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Normal"/>
        <w:jc w:val="right"/>
      </w:pPr>
      <w:r>
        <w:t>Президент</w:t>
      </w:r>
    </w:p>
    <w:p w:rsidR="00910B9B" w:rsidRDefault="00910B9B">
      <w:pPr>
        <w:pStyle w:val="ConsPlusNormal"/>
        <w:jc w:val="right"/>
      </w:pPr>
      <w:r>
        <w:t>Российской Федерации</w:t>
      </w:r>
    </w:p>
    <w:p w:rsidR="00910B9B" w:rsidRDefault="00910B9B">
      <w:pPr>
        <w:pStyle w:val="ConsPlusNormal"/>
        <w:jc w:val="right"/>
      </w:pPr>
      <w:r>
        <w:t>В.ПУТИН</w:t>
      </w:r>
    </w:p>
    <w:p w:rsidR="00910B9B" w:rsidRDefault="00910B9B">
      <w:pPr>
        <w:pStyle w:val="ConsPlusNormal"/>
      </w:pPr>
      <w:r>
        <w:t>Москва, Кремль</w:t>
      </w:r>
    </w:p>
    <w:p w:rsidR="00910B9B" w:rsidRDefault="00910B9B">
      <w:pPr>
        <w:pStyle w:val="ConsPlusNormal"/>
        <w:spacing w:before="220"/>
      </w:pPr>
      <w:r>
        <w:t>8 июня 2020 года</w:t>
      </w:r>
    </w:p>
    <w:p w:rsidR="00910B9B" w:rsidRDefault="00910B9B">
      <w:pPr>
        <w:pStyle w:val="ConsPlusNormal"/>
        <w:spacing w:before="220"/>
      </w:pPr>
      <w:r>
        <w:t>N 172-ФЗ</w:t>
      </w: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Normal"/>
        <w:jc w:val="both"/>
      </w:pPr>
    </w:p>
    <w:p w:rsidR="00910B9B" w:rsidRDefault="00910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108" w:rsidRDefault="00741108"/>
    <w:sectPr w:rsidR="00741108" w:rsidSect="00BA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9B"/>
    <w:rsid w:val="002436B6"/>
    <w:rsid w:val="00741108"/>
    <w:rsid w:val="00910B9B"/>
    <w:rsid w:val="00B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838B-5B68-467A-B7A2-704468B0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D2EBEB946C7F7AA5A814A23E5A4C10B398519A162C5336636DD451A2A5C8582967457AFC92E80F1D118B349162EA6E95E8E8865E2F950s3WEH" TargetMode="External"/><Relationship Id="rId13" Type="http://schemas.openxmlformats.org/officeDocument/2006/relationships/hyperlink" Target="consultantplus://offline/ref=C53D2EBEB946C7F7AA5A814A23E5A4C10B398519A162C5336636DD451A2A5C8582967457AFC9248AFCD118B349162EA6E95E8E8865E2F950s3WEH" TargetMode="External"/><Relationship Id="rId18" Type="http://schemas.openxmlformats.org/officeDocument/2006/relationships/hyperlink" Target="consultantplus://offline/ref=C53D2EBEB946C7F7AA5A814A23E5A4C10B398519A162C5336636DD451A2A5C8582967457AFCA2884F9D118B349162EA6E95E8E8865E2F950s3WEH" TargetMode="External"/><Relationship Id="rId26" Type="http://schemas.openxmlformats.org/officeDocument/2006/relationships/hyperlink" Target="consultantplus://offline/ref=C53D2EBEB946C7F7AA5A814A23E5A4C10B398510A663C5336636DD451A2A5C8582967457AFCA2E8BFCD118B349162EA6E95E8E8865E2F950s3W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3D2EBEB946C7F7AA5A814A23E5A4C10B398519A162C5336636DD451A2A5C8582967457ACCE2E83F28E1DA6584E22A6F640889079E0FBs5W2H" TargetMode="External"/><Relationship Id="rId7" Type="http://schemas.openxmlformats.org/officeDocument/2006/relationships/hyperlink" Target="consultantplus://offline/ref=C53D2EBEB946C7F7AA5A814A23E5A4C10B398519A162C5336636DD451A2A5C8582967457AFC82982FCD118B349162EA6E95E8E8865E2F950s3WEH" TargetMode="External"/><Relationship Id="rId12" Type="http://schemas.openxmlformats.org/officeDocument/2006/relationships/hyperlink" Target="consultantplus://offline/ref=C53D2EBEB946C7F7AA5A814A23E5A4C10B398519A162C5336636DD451A2A5C8582967457A8CC2585F28E1DA6584E22A6F640889079E0FBs5W2H" TargetMode="External"/><Relationship Id="rId17" Type="http://schemas.openxmlformats.org/officeDocument/2006/relationships/hyperlink" Target="consultantplus://offline/ref=C53D2EBEB946C7F7AA5A814A23E5A4C10B398519A162C5336636DD451A2A5C8582967457AFCA2883FDD118B349162EA6E95E8E8865E2F950s3WEH" TargetMode="External"/><Relationship Id="rId25" Type="http://schemas.openxmlformats.org/officeDocument/2006/relationships/hyperlink" Target="consultantplus://offline/ref=C53D2EBEB946C7F7AA5A814A23E5A4C10B398510A663C5336636DD451A2A5C8582967457AFC92884FCD118B349162EA6E95E8E8865E2F950s3W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3D2EBEB946C7F7AA5A814A23E5A4C10B398519A162C5336636DD451A2A5C8582967457AFCA2E8BFCD118B349162EA6E95E8E8865E2F950s3WEH" TargetMode="External"/><Relationship Id="rId20" Type="http://schemas.openxmlformats.org/officeDocument/2006/relationships/hyperlink" Target="consultantplus://offline/ref=C53D2EBEB946C7F7AA5A814A23E5A4C10B398519A162C5336636DD451A2A5C8582967457AFCB2A81FCD118B349162EA6E95E8E8865E2F950s3WE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D2EBEB946C7F7AA5A814A23E5A4C10B398519A162C5336636DD451A2A5C8582967457A9C02882F28E1DA6584E22A6F640889079E0FBs5W2H" TargetMode="External"/><Relationship Id="rId11" Type="http://schemas.openxmlformats.org/officeDocument/2006/relationships/hyperlink" Target="consultantplus://offline/ref=C53D2EBEB946C7F7AA5A814A23E5A4C10B398519A162C5336636DD451A2A5C8582967457AFC92E80F1D118B349162EA6E95E8E8865E2F950s3WEH" TargetMode="External"/><Relationship Id="rId24" Type="http://schemas.openxmlformats.org/officeDocument/2006/relationships/hyperlink" Target="consultantplus://offline/ref=C53D2EBEB946C7F7AA5A814A23E5A4C10B388F19A764C5336636DD451A2A5C8590962C5BAEC93283FFC44EE20Fs4W3H" TargetMode="External"/><Relationship Id="rId5" Type="http://schemas.openxmlformats.org/officeDocument/2006/relationships/hyperlink" Target="consultantplus://offline/ref=C53D2EBEB946C7F7AA5A814A23E5A4C10B398519A162C5336636DD451A2A5C8582967457AFC82C87F1D118B349162EA6E95E8E8865E2F950s3WEH" TargetMode="External"/><Relationship Id="rId15" Type="http://schemas.openxmlformats.org/officeDocument/2006/relationships/hyperlink" Target="consultantplus://offline/ref=C53D2EBEB946C7F7AA5A814A23E5A4C10B398519A162C5336636DD451A2A5C8582967457AFC9248AFCD118B349162EA6E95E8E8865E2F950s3WEH" TargetMode="External"/><Relationship Id="rId23" Type="http://schemas.openxmlformats.org/officeDocument/2006/relationships/hyperlink" Target="consultantplus://offline/ref=C53D2EBEB946C7F7AA5A814A23E5A4C10B3F821EA464C5336636DD451A2A5C8582967457AFC92987F0D118B349162EA6E95E8E8865E2F950s3WEH" TargetMode="External"/><Relationship Id="rId28" Type="http://schemas.openxmlformats.org/officeDocument/2006/relationships/hyperlink" Target="consultantplus://offline/ref=C53D2EBEB946C7F7AA5A814A23E5A4C10B3F821EA464C5336636DD451A2A5C8582967457AFC92987F0D118B349162EA6E95E8E8865E2F950s3WEH" TargetMode="External"/><Relationship Id="rId10" Type="http://schemas.openxmlformats.org/officeDocument/2006/relationships/hyperlink" Target="consultantplus://offline/ref=C53D2EBEB946C7F7AA5A814A23E5A4C10B398519A162C5336636DD451A2A5C8582967457A7CE2A87F28E1DA6584E22A6F640889079E0FBs5W2H" TargetMode="External"/><Relationship Id="rId19" Type="http://schemas.openxmlformats.org/officeDocument/2006/relationships/hyperlink" Target="consultantplus://offline/ref=C53D2EBEB946C7F7AA5A814A23E5A4C10B398519A162C5336636DD451A2A5C8582967455ADCA27D7A89E19EF0C423DA7EE5E8C8E79sEW0H" TargetMode="External"/><Relationship Id="rId4" Type="http://schemas.openxmlformats.org/officeDocument/2006/relationships/hyperlink" Target="consultantplus://offline/ref=C53D2EBEB946C7F7AA5A814A23E5A4C10B398519A162C5336636DD451A2A5C8590962C5BAEC93283FFC44EE20Fs4W3H" TargetMode="External"/><Relationship Id="rId9" Type="http://schemas.openxmlformats.org/officeDocument/2006/relationships/hyperlink" Target="consultantplus://offline/ref=C53D2EBEB946C7F7AA5A814A23E5A4C10B398519A162C5336636DD451A2A5C8582967457AFC92E80F1D118B349162EA6E95E8E8865E2F950s3WEH" TargetMode="External"/><Relationship Id="rId14" Type="http://schemas.openxmlformats.org/officeDocument/2006/relationships/hyperlink" Target="consultantplus://offline/ref=C53D2EBEB946C7F7AA5A814A23E5A4C10B398519A162C5336636DD451A2A5C8582967457AFC9248AFCD118B349162EA6E95E8E8865E2F950s3WEH" TargetMode="External"/><Relationship Id="rId22" Type="http://schemas.openxmlformats.org/officeDocument/2006/relationships/hyperlink" Target="consultantplus://offline/ref=C53D2EBEB946C7F7AA5A814A23E5A4C10B3F821EA464C5336636DD451A2A5C8582967457AFC92987F1D118B349162EA6E95E8E8865E2F950s3WEH" TargetMode="External"/><Relationship Id="rId27" Type="http://schemas.openxmlformats.org/officeDocument/2006/relationships/hyperlink" Target="consultantplus://offline/ref=C53D2EBEB946C7F7AA5A814A23E5A4C10B3F821EA464C5336636DD451A2A5C8582967457AFC92987F1D118B349162EA6E95E8E8865E2F950s3W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Айслу Маратовна</dc:creator>
  <cp:keywords/>
  <dc:description/>
  <cp:lastModifiedBy>Гафурова Айслу Маратовна</cp:lastModifiedBy>
  <cp:revision>1</cp:revision>
  <dcterms:created xsi:type="dcterms:W3CDTF">2020-06-11T07:22:00Z</dcterms:created>
  <dcterms:modified xsi:type="dcterms:W3CDTF">2020-06-11T07:23:00Z</dcterms:modified>
</cp:coreProperties>
</file>